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5D48AE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5D48AE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7498/11</w:t>
      </w:r>
      <w:r w:rsidR="006544C4" w:rsidRPr="00AD4F05">
        <w:rPr>
          <w:lang w:val="fr-FR"/>
        </w:rPr>
        <w:br/>
      </w:r>
      <w:r>
        <w:rPr>
          <w:lang w:val="fr-FR"/>
        </w:rPr>
        <w:t>Toma</w:t>
      </w:r>
      <w:r w:rsidRPr="00AD4F05">
        <w:rPr>
          <w:lang w:val="fr-FR"/>
        </w:rPr>
        <w:t xml:space="preserve"> </w:t>
      </w:r>
      <w:r>
        <w:rPr>
          <w:lang w:val="fr-FR"/>
        </w:rPr>
        <w:t>HALILOVIC</w:t>
      </w:r>
      <w:r w:rsidRPr="00AD4F05">
        <w:rPr>
          <w:lang w:val="fr-FR"/>
        </w:rPr>
        <w:br/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4068B3">
        <w:rPr>
          <w:lang w:val="fr-FR"/>
        </w:rPr>
        <w:t>’</w:t>
      </w:r>
      <w:r>
        <w:rPr>
          <w:lang w:val="fr-FR"/>
        </w:rPr>
        <w:t>Italie</w:t>
      </w:r>
    </w:p>
    <w:p w:rsidR="005D48AE" w:rsidRPr="003029F4" w:rsidRDefault="005D48AE" w:rsidP="00022BC0">
      <w:pPr>
        <w:pStyle w:val="ECHRPara"/>
        <w:rPr>
          <w:lang w:val="fr-FR"/>
        </w:rPr>
      </w:pPr>
      <w:r w:rsidRPr="003029F4">
        <w:rPr>
          <w:lang w:val="fr-FR"/>
        </w:rPr>
        <w:t>La Cour européenne des droits de l</w:t>
      </w:r>
      <w:r w:rsidR="004068B3">
        <w:rPr>
          <w:lang w:val="fr-FR"/>
        </w:rPr>
        <w:t>’</w:t>
      </w:r>
      <w:r w:rsidRPr="003029F4">
        <w:rPr>
          <w:lang w:val="fr-FR"/>
        </w:rPr>
        <w:t>homme (</w:t>
      </w:r>
      <w:r>
        <w:rPr>
          <w:lang w:val="fr-FR"/>
        </w:rPr>
        <w:t>première section</w:t>
      </w:r>
      <w:r w:rsidRPr="003029F4">
        <w:rPr>
          <w:lang w:val="fr-FR"/>
        </w:rPr>
        <w:t xml:space="preserve">), siégeant le </w:t>
      </w:r>
      <w:r>
        <w:rPr>
          <w:lang w:val="fr-FR"/>
        </w:rPr>
        <w:t>12 janvier 2016</w:t>
      </w:r>
      <w:r w:rsidRPr="003029F4">
        <w:rPr>
          <w:lang w:val="fr-FR"/>
        </w:rPr>
        <w:t xml:space="preserve"> en une </w:t>
      </w:r>
      <w:r>
        <w:rPr>
          <w:lang w:val="fr-FR"/>
        </w:rPr>
        <w:t>chambre</w:t>
      </w:r>
      <w:r w:rsidRPr="003029F4">
        <w:rPr>
          <w:lang w:val="fr-FR"/>
        </w:rPr>
        <w:t xml:space="preserve"> composée de :</w:t>
      </w:r>
    </w:p>
    <w:p w:rsidR="00EE3841" w:rsidRDefault="005D48AE" w:rsidP="00EE3841">
      <w:pPr>
        <w:pStyle w:val="ECHRDecisionBody"/>
        <w:rPr>
          <w:lang w:val="fr-FR"/>
        </w:rPr>
      </w:pPr>
      <w:r w:rsidRPr="005D48AE">
        <w:rPr>
          <w:lang w:val="fr-FR"/>
        </w:rPr>
        <w:tab/>
      </w:r>
      <w:proofErr w:type="spellStart"/>
      <w:r w:rsidRPr="002869D8">
        <w:rPr>
          <w:lang w:val="fr-FR"/>
        </w:rPr>
        <w:t>Mirjana</w:t>
      </w:r>
      <w:proofErr w:type="spellEnd"/>
      <w:r w:rsidRPr="002869D8">
        <w:rPr>
          <w:lang w:val="fr-FR"/>
        </w:rPr>
        <w:t xml:space="preserve"> </w:t>
      </w:r>
      <w:proofErr w:type="spellStart"/>
      <w:r w:rsidRPr="002869D8">
        <w:rPr>
          <w:lang w:val="fr-FR"/>
        </w:rPr>
        <w:t>Lazarova</w:t>
      </w:r>
      <w:proofErr w:type="spellEnd"/>
      <w:r w:rsidRPr="002869D8">
        <w:rPr>
          <w:lang w:val="fr-FR"/>
        </w:rPr>
        <w:t xml:space="preserve"> </w:t>
      </w:r>
      <w:proofErr w:type="spellStart"/>
      <w:r w:rsidRPr="002869D8">
        <w:rPr>
          <w:lang w:val="fr-FR"/>
        </w:rPr>
        <w:t>Trajkovska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t xml:space="preserve"> présidente,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  <w:t>Guido Raimondi,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  <w:t xml:space="preserve">Kristina </w:t>
      </w:r>
      <w:proofErr w:type="spellStart"/>
      <w:r w:rsidRPr="002869D8">
        <w:rPr>
          <w:lang w:val="fr-FR"/>
        </w:rPr>
        <w:t>Pardalos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  <w:t xml:space="preserve">Linos-Alexandre </w:t>
      </w:r>
      <w:proofErr w:type="spellStart"/>
      <w:r w:rsidRPr="002869D8">
        <w:rPr>
          <w:lang w:val="fr-FR"/>
        </w:rPr>
        <w:t>Sicilianos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  <w:t xml:space="preserve">Paul </w:t>
      </w:r>
      <w:proofErr w:type="spellStart"/>
      <w:r w:rsidRPr="002869D8">
        <w:rPr>
          <w:lang w:val="fr-FR"/>
        </w:rPr>
        <w:t>Mahoney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</w:r>
      <w:proofErr w:type="spellStart"/>
      <w:r w:rsidRPr="002869D8">
        <w:rPr>
          <w:lang w:val="fr-FR"/>
        </w:rPr>
        <w:t>Aleš</w:t>
      </w:r>
      <w:proofErr w:type="spellEnd"/>
      <w:r w:rsidRPr="002869D8">
        <w:rPr>
          <w:lang w:val="fr-FR"/>
        </w:rPr>
        <w:t xml:space="preserve"> </w:t>
      </w:r>
      <w:proofErr w:type="spellStart"/>
      <w:r w:rsidRPr="002869D8">
        <w:rPr>
          <w:lang w:val="fr-FR"/>
        </w:rPr>
        <w:t>Pejchal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br/>
      </w:r>
      <w:r w:rsidRPr="002869D8">
        <w:rPr>
          <w:lang w:val="fr-FR"/>
        </w:rPr>
        <w:tab/>
        <w:t xml:space="preserve">Robert </w:t>
      </w:r>
      <w:proofErr w:type="spellStart"/>
      <w:r w:rsidRPr="002869D8">
        <w:rPr>
          <w:lang w:val="fr-FR"/>
        </w:rPr>
        <w:t>Spano</w:t>
      </w:r>
      <w:proofErr w:type="spellEnd"/>
      <w:r w:rsidRPr="002869D8">
        <w:rPr>
          <w:lang w:val="fr-FR"/>
        </w:rPr>
        <w:t>,</w:t>
      </w:r>
      <w:r w:rsidRPr="002869D8">
        <w:rPr>
          <w:i/>
          <w:lang w:val="fr-FR"/>
        </w:rPr>
        <w:t xml:space="preserve"> juges</w:t>
      </w:r>
      <w:proofErr w:type="gramStart"/>
      <w:r w:rsidRPr="002869D8">
        <w:rPr>
          <w:i/>
          <w:lang w:val="fr-FR"/>
        </w:rPr>
        <w:t>,</w:t>
      </w:r>
      <w:proofErr w:type="gramEnd"/>
      <w:r w:rsidRPr="002869D8">
        <w:rPr>
          <w:i/>
          <w:lang w:val="fr-FR"/>
        </w:rPr>
        <w:br/>
      </w:r>
      <w:r w:rsidR="0069631E">
        <w:rPr>
          <w:lang w:val="fr-FR"/>
        </w:rPr>
        <w:t>et de</w:t>
      </w:r>
      <w:r w:rsidR="00022BC0">
        <w:rPr>
          <w:lang w:val="fr-FR"/>
        </w:rPr>
        <w:t xml:space="preserve"> </w:t>
      </w:r>
      <w:r w:rsidRPr="002869D8">
        <w:rPr>
          <w:szCs w:val="24"/>
          <w:lang w:val="fr-FR"/>
        </w:rPr>
        <w:t xml:space="preserve">André Wampach, </w:t>
      </w:r>
      <w:r w:rsidR="00EE3841">
        <w:rPr>
          <w:i/>
          <w:lang w:val="fr-FR"/>
        </w:rPr>
        <w:t>greffier adjoint de section,</w:t>
      </w:r>
    </w:p>
    <w:p w:rsidR="005D48AE" w:rsidRDefault="005D48AE" w:rsidP="00EE3841">
      <w:pPr>
        <w:pStyle w:val="ECHRDecisionBody"/>
        <w:ind w:firstLine="284"/>
        <w:rPr>
          <w:lang w:val="fr-FR"/>
        </w:rPr>
      </w:pPr>
      <w:r w:rsidRPr="003029F4">
        <w:rPr>
          <w:lang w:val="fr-FR"/>
        </w:rPr>
        <w:t xml:space="preserve">Vu la requête susmentionnée introduite le </w:t>
      </w:r>
      <w:r>
        <w:rPr>
          <w:lang w:val="fr-FR"/>
        </w:rPr>
        <w:t>3 février 2011</w:t>
      </w:r>
      <w:r w:rsidRPr="003029F4">
        <w:rPr>
          <w:lang w:val="fr-FR"/>
        </w:rPr>
        <w:t>,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Vu la décision de traiter en priorité la requête en vertu de l</w:t>
      </w:r>
      <w:r w:rsidR="004068B3">
        <w:rPr>
          <w:lang w:val="fr-FR"/>
        </w:rPr>
        <w:t>’</w:t>
      </w:r>
      <w:r>
        <w:rPr>
          <w:lang w:val="fr-FR"/>
        </w:rPr>
        <w:t>article 41 du règlement de la Cour,</w:t>
      </w:r>
    </w:p>
    <w:p w:rsidR="005D48AE" w:rsidRPr="003029F4" w:rsidRDefault="005D48AE" w:rsidP="00D55839">
      <w:pPr>
        <w:pStyle w:val="ECHRPara"/>
        <w:rPr>
          <w:lang w:val="fr-FR"/>
        </w:rPr>
      </w:pPr>
      <w:r>
        <w:rPr>
          <w:lang w:val="fr-FR"/>
        </w:rPr>
        <w:t>Vu les observations soumises par le gouvernement défendeur et celles présentées en réponse par le requérant,</w:t>
      </w:r>
    </w:p>
    <w:p w:rsidR="005D48AE" w:rsidRDefault="005D48AE" w:rsidP="00D55839">
      <w:pPr>
        <w:pStyle w:val="ECHRPara"/>
        <w:rPr>
          <w:lang w:val="fr-FR"/>
        </w:rPr>
      </w:pPr>
      <w:r w:rsidRPr="003029F4">
        <w:rPr>
          <w:lang w:val="fr-FR"/>
        </w:rPr>
        <w:t>Après en avoir délibéré, rend la décision suivante :</w:t>
      </w:r>
    </w:p>
    <w:p w:rsidR="005D48AE" w:rsidRPr="006A58BA" w:rsidRDefault="005D48AE" w:rsidP="00D55839">
      <w:pPr>
        <w:pStyle w:val="ECHRTitle1"/>
        <w:rPr>
          <w:lang w:val="fr-FR"/>
        </w:rPr>
      </w:pPr>
      <w:r>
        <w:rPr>
          <w:lang w:val="fr-FR"/>
        </w:rPr>
        <w:t>EN FAIT</w:t>
      </w:r>
    </w:p>
    <w:p w:rsidR="005D48AE" w:rsidRPr="006A58BA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 xml:space="preserve">Le requérant, M. </w:t>
      </w:r>
      <w:proofErr w:type="spellStart"/>
      <w:r w:rsidRPr="006A58BA">
        <w:rPr>
          <w:lang w:val="fr-FR"/>
        </w:rPr>
        <w:t>Toma</w:t>
      </w:r>
      <w:proofErr w:type="spellEnd"/>
      <w:r w:rsidRPr="006A58BA">
        <w:rPr>
          <w:lang w:val="fr-FR"/>
        </w:rPr>
        <w:t xml:space="preserve"> </w:t>
      </w:r>
      <w:proofErr w:type="spellStart"/>
      <w:r w:rsidRPr="006A58BA">
        <w:rPr>
          <w:lang w:val="fr-FR"/>
        </w:rPr>
        <w:t>Halilovic</w:t>
      </w:r>
      <w:proofErr w:type="spellEnd"/>
      <w:r w:rsidRPr="006A58BA">
        <w:rPr>
          <w:lang w:val="fr-FR"/>
        </w:rPr>
        <w:t>, apatride d</w:t>
      </w:r>
      <w:r w:rsidR="004068B3">
        <w:rPr>
          <w:lang w:val="fr-FR"/>
        </w:rPr>
        <w:t>’</w:t>
      </w:r>
      <w:r w:rsidRPr="006A58BA">
        <w:rPr>
          <w:lang w:val="fr-FR"/>
        </w:rPr>
        <w:t>ethnie Rom, est né à Rome en 1982 et y réside. Il est représenté devant la Cour par M</w:t>
      </w:r>
      <w:r w:rsidRPr="006A58BA">
        <w:rPr>
          <w:vertAlign w:val="superscript"/>
          <w:lang w:val="fr-FR"/>
        </w:rPr>
        <w:t>es</w:t>
      </w:r>
      <w:r>
        <w:rPr>
          <w:lang w:val="fr-FR"/>
        </w:rPr>
        <w:t> N. Paoletti, G. </w:t>
      </w:r>
      <w:r w:rsidRPr="006A58BA">
        <w:rPr>
          <w:lang w:val="fr-FR"/>
        </w:rPr>
        <w:t xml:space="preserve">Paoletti et A. </w:t>
      </w:r>
      <w:proofErr w:type="spellStart"/>
      <w:r w:rsidRPr="006A58BA">
        <w:rPr>
          <w:lang w:val="fr-FR"/>
        </w:rPr>
        <w:t>Specchio</w:t>
      </w:r>
      <w:proofErr w:type="spellEnd"/>
      <w:r w:rsidRPr="006A58BA">
        <w:rPr>
          <w:lang w:val="fr-FR"/>
        </w:rPr>
        <w:t>, avocats à Rome.</w:t>
      </w:r>
    </w:p>
    <w:p w:rsidR="005D48AE" w:rsidRPr="006A58BA" w:rsidRDefault="005D48AE" w:rsidP="00D55839">
      <w:pPr>
        <w:pStyle w:val="ECHRHeading2"/>
        <w:outlineLvl w:val="0"/>
        <w:rPr>
          <w:lang w:val="fr-FR"/>
        </w:rPr>
      </w:pPr>
      <w:r w:rsidRPr="006A58BA">
        <w:rPr>
          <w:lang w:val="fr-FR"/>
        </w:rPr>
        <w:lastRenderedPageBreak/>
        <w:t>Les circonstances de l</w:t>
      </w:r>
      <w:r w:rsidR="004068B3">
        <w:rPr>
          <w:lang w:val="fr-FR"/>
        </w:rPr>
        <w:t>’</w:t>
      </w:r>
      <w:r w:rsidRPr="006A58BA">
        <w:rPr>
          <w:lang w:val="fr-FR"/>
        </w:rPr>
        <w:t>espèce</w:t>
      </w:r>
    </w:p>
    <w:p w:rsidR="005D48AE" w:rsidRPr="006A58BA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>Les faits de la cause, tels qu</w:t>
      </w:r>
      <w:r w:rsidR="004068B3">
        <w:rPr>
          <w:lang w:val="fr-FR"/>
        </w:rPr>
        <w:t>’</w:t>
      </w:r>
      <w:r w:rsidRPr="006A58BA">
        <w:rPr>
          <w:lang w:val="fr-FR"/>
        </w:rPr>
        <w:t>ils ont été exposés par le</w:t>
      </w:r>
      <w:r>
        <w:rPr>
          <w:lang w:val="fr-FR"/>
        </w:rPr>
        <w:t>s</w:t>
      </w:r>
      <w:r w:rsidRPr="006A58BA">
        <w:rPr>
          <w:lang w:val="fr-FR"/>
        </w:rPr>
        <w:t xml:space="preserve"> </w:t>
      </w:r>
      <w:r>
        <w:rPr>
          <w:lang w:val="fr-FR"/>
        </w:rPr>
        <w:t>parties</w:t>
      </w:r>
      <w:r w:rsidRPr="006A58BA">
        <w:rPr>
          <w:lang w:val="fr-FR"/>
        </w:rPr>
        <w:t>, peuvent se résumer comme suit.</w:t>
      </w:r>
    </w:p>
    <w:p w:rsidR="005D48AE" w:rsidRPr="006A58BA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>Par un acte du 6 mai 2004, notifié au ministère de l</w:t>
      </w:r>
      <w:r w:rsidR="004068B3">
        <w:rPr>
          <w:lang w:val="fr-FR"/>
        </w:rPr>
        <w:t>’</w:t>
      </w:r>
      <w:r>
        <w:rPr>
          <w:lang w:val="fr-FR"/>
        </w:rPr>
        <w:t>Intérieur le 13 mai </w:t>
      </w:r>
      <w:r w:rsidRPr="006A58BA">
        <w:rPr>
          <w:lang w:val="fr-FR"/>
        </w:rPr>
        <w:t xml:space="preserve">suivant, le requérant saisit le tribunal civil de Rome </w:t>
      </w:r>
      <w:r>
        <w:rPr>
          <w:lang w:val="fr-FR"/>
        </w:rPr>
        <w:t>dans le but d</w:t>
      </w:r>
      <w:r w:rsidR="004068B3">
        <w:rPr>
          <w:lang w:val="fr-FR"/>
        </w:rPr>
        <w:t>’</w:t>
      </w:r>
      <w:r>
        <w:rPr>
          <w:lang w:val="fr-FR"/>
        </w:rPr>
        <w:t>o</w:t>
      </w:r>
      <w:r w:rsidRPr="006A58BA">
        <w:rPr>
          <w:lang w:val="fr-FR"/>
        </w:rPr>
        <w:t xml:space="preserve">btenir la nationalité italienne </w:t>
      </w:r>
      <w:r>
        <w:rPr>
          <w:lang w:val="fr-FR"/>
        </w:rPr>
        <w:t>ou</w:t>
      </w:r>
      <w:r w:rsidRPr="006A58BA">
        <w:rPr>
          <w:lang w:val="fr-FR"/>
        </w:rPr>
        <w:t>, à titre subsidiaire, le statut de réfugié, le droit d</w:t>
      </w:r>
      <w:r w:rsidR="004068B3">
        <w:rPr>
          <w:lang w:val="fr-FR"/>
        </w:rPr>
        <w:t>’</w:t>
      </w:r>
      <w:r w:rsidRPr="006A58BA">
        <w:rPr>
          <w:lang w:val="fr-FR"/>
        </w:rPr>
        <w:t>asile ou la protection internationale. Le requérant invoqua également l</w:t>
      </w:r>
      <w:r w:rsidR="004068B3">
        <w:rPr>
          <w:lang w:val="fr-FR"/>
        </w:rPr>
        <w:t>’</w:t>
      </w:r>
      <w:r w:rsidRPr="006A58BA">
        <w:rPr>
          <w:lang w:val="fr-FR"/>
        </w:rPr>
        <w:t>article 8 de la Convention dans la mesure où toute sa famille,</w:t>
      </w:r>
      <w:r>
        <w:rPr>
          <w:lang w:val="fr-FR"/>
        </w:rPr>
        <w:t xml:space="preserve"> composée de</w:t>
      </w:r>
      <w:r w:rsidRPr="006A58BA">
        <w:rPr>
          <w:lang w:val="fr-FR"/>
        </w:rPr>
        <w:t xml:space="preserve"> son épouse et </w:t>
      </w:r>
      <w:r>
        <w:rPr>
          <w:lang w:val="fr-FR"/>
        </w:rPr>
        <w:t xml:space="preserve">de </w:t>
      </w:r>
      <w:r w:rsidRPr="006A58BA">
        <w:rPr>
          <w:lang w:val="fr-FR"/>
        </w:rPr>
        <w:t>leurs six enfants mineurs, résidait en Italie.</w:t>
      </w:r>
    </w:p>
    <w:p w:rsidR="005D48AE" w:rsidRPr="006A58BA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 xml:space="preserve">Le 8 avril 2009, le tribunal rejeta la demande du requérant. Il relevait que </w:t>
      </w:r>
      <w:r>
        <w:rPr>
          <w:lang w:val="fr-FR"/>
        </w:rPr>
        <w:t>celui-ci</w:t>
      </w:r>
      <w:r w:rsidRPr="006A58BA">
        <w:rPr>
          <w:lang w:val="fr-FR"/>
        </w:rPr>
        <w:t xml:space="preserve"> n</w:t>
      </w:r>
      <w:r w:rsidR="004068B3">
        <w:rPr>
          <w:lang w:val="fr-FR"/>
        </w:rPr>
        <w:t>’</w:t>
      </w:r>
      <w:r w:rsidRPr="006A58BA">
        <w:rPr>
          <w:lang w:val="fr-FR"/>
        </w:rPr>
        <w:t xml:space="preserve">avait pas démontré que sa </w:t>
      </w:r>
      <w:r>
        <w:rPr>
          <w:lang w:val="fr-FR"/>
        </w:rPr>
        <w:t xml:space="preserve">présence </w:t>
      </w:r>
      <w:r w:rsidRPr="006A58BA">
        <w:rPr>
          <w:lang w:val="fr-FR"/>
        </w:rPr>
        <w:t>permanen</w:t>
      </w:r>
      <w:r>
        <w:rPr>
          <w:lang w:val="fr-FR"/>
        </w:rPr>
        <w:t>t</w:t>
      </w:r>
      <w:r w:rsidRPr="006A58BA">
        <w:rPr>
          <w:lang w:val="fr-FR"/>
        </w:rPr>
        <w:t>e en Italie était légale car ni lui ni ses parents ne possédaient un permis de séjour. En outre, sa demande avait été introduite tardivement, lorsqu</w:t>
      </w:r>
      <w:r w:rsidR="004068B3">
        <w:rPr>
          <w:lang w:val="fr-FR"/>
        </w:rPr>
        <w:t>’</w:t>
      </w:r>
      <w:r w:rsidRPr="006A58BA">
        <w:rPr>
          <w:lang w:val="fr-FR"/>
        </w:rPr>
        <w:t xml:space="preserve">il avait déjà 22 ans. Quant aux demandes subsidiaires, le tribunal </w:t>
      </w:r>
      <w:r>
        <w:rPr>
          <w:lang w:val="fr-FR"/>
        </w:rPr>
        <w:t>nota</w:t>
      </w:r>
      <w:r w:rsidRPr="006A58BA">
        <w:rPr>
          <w:lang w:val="fr-FR"/>
        </w:rPr>
        <w:t xml:space="preserve"> que le requérant n</w:t>
      </w:r>
      <w:r w:rsidR="004068B3">
        <w:rPr>
          <w:lang w:val="fr-FR"/>
        </w:rPr>
        <w:t>’</w:t>
      </w:r>
      <w:r w:rsidRPr="006A58BA">
        <w:rPr>
          <w:lang w:val="fr-FR"/>
        </w:rPr>
        <w:t>avait nullement démontré avoir subi ou craindre de subir une persécution ou une restriction de ses droit civils et politiques. Enfin, sous l</w:t>
      </w:r>
      <w:r w:rsidR="004068B3">
        <w:rPr>
          <w:lang w:val="fr-FR"/>
        </w:rPr>
        <w:t>’</w:t>
      </w:r>
      <w:r w:rsidRPr="006A58BA">
        <w:rPr>
          <w:lang w:val="fr-FR"/>
        </w:rPr>
        <w:t>angle de l</w:t>
      </w:r>
      <w:r w:rsidR="004068B3">
        <w:rPr>
          <w:lang w:val="fr-FR"/>
        </w:rPr>
        <w:t>’</w:t>
      </w:r>
      <w:r w:rsidRPr="006A58BA">
        <w:rPr>
          <w:lang w:val="fr-FR"/>
        </w:rPr>
        <w:t>article 8 de la Convention, la juridiction souligna que le risque de rupture des liens familiaux n</w:t>
      </w:r>
      <w:r w:rsidR="004068B3">
        <w:rPr>
          <w:lang w:val="fr-FR"/>
        </w:rPr>
        <w:t>’</w:t>
      </w:r>
      <w:r w:rsidRPr="006A58BA">
        <w:rPr>
          <w:lang w:val="fr-FR"/>
        </w:rPr>
        <w:t>existait pas car le requérant n</w:t>
      </w:r>
      <w:r w:rsidR="004068B3">
        <w:rPr>
          <w:lang w:val="fr-FR"/>
        </w:rPr>
        <w:t>’</w:t>
      </w:r>
      <w:r w:rsidRPr="006A58BA">
        <w:rPr>
          <w:lang w:val="fr-FR"/>
        </w:rPr>
        <w:t>avait pas été expulsé.</w:t>
      </w:r>
    </w:p>
    <w:p w:rsidR="005D48AE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>Le 24 janvier 2010, la Commission territoriale pour l</w:t>
      </w:r>
      <w:r w:rsidR="004068B3">
        <w:rPr>
          <w:lang w:val="fr-FR"/>
        </w:rPr>
        <w:t>’</w:t>
      </w:r>
      <w:r w:rsidRPr="006A58BA">
        <w:rPr>
          <w:lang w:val="fr-FR"/>
        </w:rPr>
        <w:t>octroi du statut de réfugié de Rome rejeta la demande du requérant visant à obtenir le statut de réfugié ou l</w:t>
      </w:r>
      <w:r w:rsidR="004068B3">
        <w:rPr>
          <w:lang w:val="fr-FR"/>
        </w:rPr>
        <w:t>’</w:t>
      </w:r>
      <w:r w:rsidRPr="006A58BA">
        <w:rPr>
          <w:lang w:val="fr-FR"/>
        </w:rPr>
        <w:t>asile politique. Elle décida toutefois de communiquer le dossier du requérant à la préfecture de Police de Rome afin que celle-ci l</w:t>
      </w:r>
      <w:r w:rsidR="004068B3">
        <w:rPr>
          <w:lang w:val="fr-FR"/>
        </w:rPr>
        <w:t>’</w:t>
      </w:r>
      <w:r w:rsidRPr="006A58BA">
        <w:rPr>
          <w:lang w:val="fr-FR"/>
        </w:rPr>
        <w:t>examinât et décidât sur la question du bénéfice du permis de séjour pour motifs humanitaires.</w:t>
      </w:r>
    </w:p>
    <w:p w:rsidR="005D48AE" w:rsidRPr="006A58BA" w:rsidRDefault="005D48AE" w:rsidP="00D55839">
      <w:pPr>
        <w:pStyle w:val="ECHRPara"/>
        <w:rPr>
          <w:lang w:val="fr-FR"/>
        </w:rPr>
      </w:pPr>
      <w:r>
        <w:rPr>
          <w:lang w:val="fr-FR"/>
        </w:rPr>
        <w:t>Le 19 janvier 2011, accusé notamment de hold-up, le requérant fut arrêté et placé en détention à domicile. À une date non précisée, il viola l</w:t>
      </w:r>
      <w:r w:rsidR="004068B3">
        <w:rPr>
          <w:lang w:val="fr-FR"/>
        </w:rPr>
        <w:t>’</w:t>
      </w:r>
      <w:r>
        <w:rPr>
          <w:lang w:val="fr-FR"/>
        </w:rPr>
        <w:t>obligation de résider à son domicile ce qui lui valut d</w:t>
      </w:r>
      <w:r w:rsidR="004068B3">
        <w:rPr>
          <w:lang w:val="fr-FR"/>
        </w:rPr>
        <w:t>’</w:t>
      </w:r>
      <w:r>
        <w:rPr>
          <w:lang w:val="fr-FR"/>
        </w:rPr>
        <w:t>être transféré à la prison de Viterbo.</w:t>
      </w:r>
    </w:p>
    <w:p w:rsidR="005D48AE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 xml:space="preserve">Le 24 janvier 2011, la préfecture de Police </w:t>
      </w:r>
      <w:r>
        <w:rPr>
          <w:lang w:val="fr-FR"/>
        </w:rPr>
        <w:t>décida</w:t>
      </w:r>
      <w:r w:rsidRPr="006A58BA">
        <w:rPr>
          <w:lang w:val="fr-FR"/>
        </w:rPr>
        <w:t xml:space="preserve"> de ne pas délivrer le permis </w:t>
      </w:r>
      <w:r>
        <w:rPr>
          <w:lang w:val="fr-FR"/>
        </w:rPr>
        <w:t>de séjour pour motifs humanitaires</w:t>
      </w:r>
      <w:r w:rsidRPr="006A58BA">
        <w:rPr>
          <w:lang w:val="fr-FR"/>
        </w:rPr>
        <w:t xml:space="preserve"> en raison </w:t>
      </w:r>
      <w:r>
        <w:rPr>
          <w:lang w:val="fr-FR"/>
        </w:rPr>
        <w:t>de l</w:t>
      </w:r>
      <w:r w:rsidR="004068B3">
        <w:rPr>
          <w:lang w:val="fr-FR"/>
        </w:rPr>
        <w:t>’</w:t>
      </w:r>
      <w:r>
        <w:rPr>
          <w:lang w:val="fr-FR"/>
        </w:rPr>
        <w:t xml:space="preserve">existence </w:t>
      </w:r>
      <w:r w:rsidRPr="006A58BA">
        <w:rPr>
          <w:lang w:val="fr-FR"/>
        </w:rPr>
        <w:t>d</w:t>
      </w:r>
      <w:r w:rsidR="004068B3">
        <w:rPr>
          <w:lang w:val="fr-FR"/>
        </w:rPr>
        <w:t>’</w:t>
      </w:r>
      <w:r w:rsidRPr="006A58BA">
        <w:rPr>
          <w:lang w:val="fr-FR"/>
        </w:rPr>
        <w:t>un</w:t>
      </w:r>
      <w:r>
        <w:rPr>
          <w:lang w:val="fr-FR"/>
        </w:rPr>
        <w:t>e</w:t>
      </w:r>
      <w:r w:rsidRPr="006A58BA">
        <w:rPr>
          <w:lang w:val="fr-FR"/>
        </w:rPr>
        <w:t xml:space="preserve"> condamnation à 4 mois de réclusion et 200 euros d</w:t>
      </w:r>
      <w:r w:rsidR="004068B3">
        <w:rPr>
          <w:lang w:val="fr-FR"/>
        </w:rPr>
        <w:t>’</w:t>
      </w:r>
      <w:r w:rsidRPr="006A58BA">
        <w:rPr>
          <w:lang w:val="fr-FR"/>
        </w:rPr>
        <w:t>amende pour participation à un hold</w:t>
      </w:r>
      <w:r>
        <w:rPr>
          <w:lang w:val="fr-FR"/>
        </w:rPr>
        <w:t>-</w:t>
      </w:r>
      <w:r w:rsidRPr="006A58BA">
        <w:rPr>
          <w:lang w:val="fr-FR"/>
        </w:rPr>
        <w:t>up. Elle invit</w:t>
      </w:r>
      <w:r>
        <w:rPr>
          <w:lang w:val="fr-FR"/>
        </w:rPr>
        <w:t>a</w:t>
      </w:r>
      <w:r w:rsidRPr="006A58BA">
        <w:rPr>
          <w:lang w:val="fr-FR"/>
        </w:rPr>
        <w:t xml:space="preserve"> l</w:t>
      </w:r>
      <w:r w:rsidR="004068B3">
        <w:rPr>
          <w:lang w:val="fr-FR"/>
        </w:rPr>
        <w:t>’</w:t>
      </w:r>
      <w:r w:rsidRPr="006A58BA">
        <w:rPr>
          <w:lang w:val="fr-FR"/>
        </w:rPr>
        <w:t>intéressé à quitter le territoire italien dans les 15 jours à compter de la notification de sa décision.</w:t>
      </w:r>
    </w:p>
    <w:p w:rsidR="005D48AE" w:rsidRPr="006A58BA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 xml:space="preserve">Le 3 février 2011, le requérant </w:t>
      </w:r>
      <w:r>
        <w:rPr>
          <w:lang w:val="fr-FR"/>
        </w:rPr>
        <w:t>demanda</w:t>
      </w:r>
      <w:r w:rsidRPr="006A58BA">
        <w:rPr>
          <w:lang w:val="fr-FR"/>
        </w:rPr>
        <w:t xml:space="preserve"> à la Cour d</w:t>
      </w:r>
      <w:r w:rsidR="004068B3">
        <w:rPr>
          <w:lang w:val="fr-FR"/>
        </w:rPr>
        <w:t>’</w:t>
      </w:r>
      <w:r w:rsidRPr="006A58BA">
        <w:rPr>
          <w:lang w:val="fr-FR"/>
        </w:rPr>
        <w:t>empêcher son éloignement en application de l</w:t>
      </w:r>
      <w:r w:rsidR="004068B3">
        <w:rPr>
          <w:lang w:val="fr-FR"/>
        </w:rPr>
        <w:t>’</w:t>
      </w:r>
      <w:r w:rsidRPr="006A58BA">
        <w:rPr>
          <w:lang w:val="fr-FR"/>
        </w:rPr>
        <w:t>article 39 du règlement de la Cour.</w:t>
      </w:r>
    </w:p>
    <w:p w:rsidR="005D48AE" w:rsidRPr="006A58BA" w:rsidRDefault="005D48AE" w:rsidP="00D55839">
      <w:pPr>
        <w:pStyle w:val="ECHRPara"/>
        <w:rPr>
          <w:color w:val="000000"/>
          <w:lang w:val="fr-FR"/>
        </w:rPr>
      </w:pPr>
      <w:r w:rsidRPr="006A58BA">
        <w:rPr>
          <w:color w:val="000000"/>
          <w:lang w:val="fr-FR"/>
        </w:rPr>
        <w:t xml:space="preserve">Le 7 février 2011, le requérant </w:t>
      </w:r>
      <w:r>
        <w:rPr>
          <w:color w:val="000000"/>
          <w:lang w:val="fr-FR"/>
        </w:rPr>
        <w:t>adressa un recours hiérarchique au P</w:t>
      </w:r>
      <w:r w:rsidRPr="006A58BA">
        <w:rPr>
          <w:color w:val="000000"/>
          <w:lang w:val="fr-FR"/>
        </w:rPr>
        <w:t>réfet de Rome contre la décision d</w:t>
      </w:r>
      <w:r>
        <w:rPr>
          <w:color w:val="000000"/>
          <w:lang w:val="fr-FR"/>
        </w:rPr>
        <w:t>e</w:t>
      </w:r>
      <w:r w:rsidRPr="006A58BA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la </w:t>
      </w:r>
      <w:r w:rsidRPr="006A58BA">
        <w:rPr>
          <w:color w:val="000000"/>
          <w:lang w:val="fr-FR"/>
        </w:rPr>
        <w:t>préfe</w:t>
      </w:r>
      <w:r>
        <w:rPr>
          <w:color w:val="000000"/>
          <w:lang w:val="fr-FR"/>
        </w:rPr>
        <w:t>c</w:t>
      </w:r>
      <w:r w:rsidRPr="006A58BA">
        <w:rPr>
          <w:color w:val="000000"/>
          <w:lang w:val="fr-FR"/>
        </w:rPr>
        <w:t>t</w:t>
      </w:r>
      <w:r>
        <w:rPr>
          <w:color w:val="000000"/>
          <w:lang w:val="fr-FR"/>
        </w:rPr>
        <w:t xml:space="preserve">ure </w:t>
      </w:r>
      <w:r w:rsidRPr="006A58BA">
        <w:rPr>
          <w:color w:val="000000"/>
          <w:lang w:val="fr-FR"/>
        </w:rPr>
        <w:t>de Police rejetant sa demande de permis de séjour pour motifs humanitaires.</w:t>
      </w:r>
    </w:p>
    <w:p w:rsidR="005D48AE" w:rsidRDefault="005D48AE" w:rsidP="00D55839">
      <w:pPr>
        <w:pStyle w:val="ECHRPara"/>
        <w:rPr>
          <w:lang w:val="fr-FR"/>
        </w:rPr>
      </w:pPr>
      <w:r w:rsidRPr="006A58BA">
        <w:rPr>
          <w:lang w:val="fr-FR"/>
        </w:rPr>
        <w:t xml:space="preserve">Le 8 février 2011, la Cour </w:t>
      </w:r>
      <w:r>
        <w:rPr>
          <w:lang w:val="fr-FR"/>
        </w:rPr>
        <w:t>rejeta</w:t>
      </w:r>
      <w:r w:rsidRPr="006A58BA">
        <w:rPr>
          <w:lang w:val="fr-FR"/>
        </w:rPr>
        <w:t xml:space="preserve"> la demande d</w:t>
      </w:r>
      <w:r w:rsidR="004068B3">
        <w:rPr>
          <w:lang w:val="fr-FR"/>
        </w:rPr>
        <w:t>’</w:t>
      </w:r>
      <w:r w:rsidRPr="006A58BA">
        <w:rPr>
          <w:lang w:val="fr-FR"/>
        </w:rPr>
        <w:t>application de l</w:t>
      </w:r>
      <w:r w:rsidR="004068B3">
        <w:rPr>
          <w:lang w:val="fr-FR"/>
        </w:rPr>
        <w:t>’</w:t>
      </w:r>
      <w:r w:rsidRPr="006A58BA">
        <w:rPr>
          <w:lang w:val="fr-FR"/>
        </w:rPr>
        <w:t>article 39 de son règlement.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 xml:space="preserve">Saisi par le requérant, par un jugement du 12 novembre 2012, le tribunal de Rome annula la décision de la préfecture de Police du 24 janvier 2011, </w:t>
      </w:r>
      <w:r>
        <w:rPr>
          <w:lang w:val="fr-FR"/>
        </w:rPr>
        <w:lastRenderedPageBreak/>
        <w:t>estimant que le requérant avait droit à l</w:t>
      </w:r>
      <w:r w:rsidR="004068B3">
        <w:rPr>
          <w:lang w:val="fr-FR"/>
        </w:rPr>
        <w:t>’</w:t>
      </w:r>
      <w:r>
        <w:rPr>
          <w:lang w:val="fr-FR"/>
        </w:rPr>
        <w:t>octroi d</w:t>
      </w:r>
      <w:r w:rsidR="004068B3">
        <w:rPr>
          <w:lang w:val="fr-FR"/>
        </w:rPr>
        <w:t>’</w:t>
      </w:r>
      <w:r>
        <w:rPr>
          <w:lang w:val="fr-FR"/>
        </w:rPr>
        <w:t>un permis de séjour pour motifs humanitaires.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Le 17 mai 2011, le requérant demanda au Ministre de l</w:t>
      </w:r>
      <w:r w:rsidR="004068B3">
        <w:rPr>
          <w:lang w:val="fr-FR"/>
        </w:rPr>
        <w:t>’</w:t>
      </w:r>
      <w:r>
        <w:rPr>
          <w:lang w:val="fr-FR"/>
        </w:rPr>
        <w:t>Intérieur de lui reconnaître le statut d</w:t>
      </w:r>
      <w:r w:rsidR="004068B3">
        <w:rPr>
          <w:lang w:val="fr-FR"/>
        </w:rPr>
        <w:t>’</w:t>
      </w:r>
      <w:r>
        <w:rPr>
          <w:lang w:val="fr-FR"/>
        </w:rPr>
        <w:t>apatride.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Le 30 juin 2014, le ministère de l</w:t>
      </w:r>
      <w:r w:rsidR="004068B3">
        <w:rPr>
          <w:lang w:val="fr-FR"/>
        </w:rPr>
        <w:t>’</w:t>
      </w:r>
      <w:r>
        <w:rPr>
          <w:lang w:val="fr-FR"/>
        </w:rPr>
        <w:t>Intérieur accueillit la demande introduite par le requérant le 17 mai 2011.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Le 25 juillet 2014, le requérant, détenu à Viterbo à la suite de la violation de l</w:t>
      </w:r>
      <w:r w:rsidR="004068B3">
        <w:rPr>
          <w:lang w:val="fr-FR"/>
        </w:rPr>
        <w:t>’</w:t>
      </w:r>
      <w:r>
        <w:rPr>
          <w:lang w:val="fr-FR"/>
        </w:rPr>
        <w:t>obligation de résidence, reçut la notification d</w:t>
      </w:r>
      <w:r w:rsidR="004068B3">
        <w:rPr>
          <w:lang w:val="fr-FR"/>
        </w:rPr>
        <w:t>’</w:t>
      </w:r>
      <w:r>
        <w:rPr>
          <w:lang w:val="fr-FR"/>
        </w:rPr>
        <w:t>un arrêté d</w:t>
      </w:r>
      <w:r w:rsidR="004068B3">
        <w:rPr>
          <w:lang w:val="fr-FR"/>
        </w:rPr>
        <w:t>’</w:t>
      </w:r>
      <w:r>
        <w:rPr>
          <w:lang w:val="fr-FR"/>
        </w:rPr>
        <w:t>expulsion adopté par le Préfet.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Le 4 août 2014, compte tenu du statut d</w:t>
      </w:r>
      <w:r w:rsidR="004068B3">
        <w:rPr>
          <w:lang w:val="fr-FR"/>
        </w:rPr>
        <w:t>’</w:t>
      </w:r>
      <w:r>
        <w:rPr>
          <w:lang w:val="fr-FR"/>
        </w:rPr>
        <w:t>apatride de l</w:t>
      </w:r>
      <w:r w:rsidR="004068B3">
        <w:rPr>
          <w:lang w:val="fr-FR"/>
        </w:rPr>
        <w:t>’</w:t>
      </w:r>
      <w:r>
        <w:rPr>
          <w:lang w:val="fr-FR"/>
        </w:rPr>
        <w:t>intéressé, le ministère de l</w:t>
      </w:r>
      <w:r w:rsidR="004068B3">
        <w:rPr>
          <w:lang w:val="fr-FR"/>
        </w:rPr>
        <w:t>’</w:t>
      </w:r>
      <w:r>
        <w:rPr>
          <w:lang w:val="fr-FR"/>
        </w:rPr>
        <w:t>Intérieur révoqua cet arrêté.</w:t>
      </w:r>
    </w:p>
    <w:p w:rsidR="005D48AE" w:rsidRDefault="005D48AE" w:rsidP="00D55839">
      <w:pPr>
        <w:pStyle w:val="ECHRPara"/>
        <w:rPr>
          <w:lang w:val="fr-FR"/>
        </w:rPr>
      </w:pPr>
      <w:r>
        <w:rPr>
          <w:lang w:val="fr-FR"/>
        </w:rPr>
        <w:t>Le 11 septembre 2014, le requérant a communiqué à la Cour son intention de solliciter l</w:t>
      </w:r>
      <w:r w:rsidR="004068B3">
        <w:rPr>
          <w:lang w:val="fr-FR"/>
        </w:rPr>
        <w:t>’</w:t>
      </w:r>
      <w:r>
        <w:rPr>
          <w:lang w:val="fr-FR"/>
        </w:rPr>
        <w:t>octroi d</w:t>
      </w:r>
      <w:r w:rsidR="004068B3">
        <w:rPr>
          <w:lang w:val="fr-FR"/>
        </w:rPr>
        <w:t>’</w:t>
      </w:r>
      <w:r>
        <w:rPr>
          <w:lang w:val="fr-FR"/>
        </w:rPr>
        <w:t>un permis de séjour de longue durée.</w:t>
      </w:r>
    </w:p>
    <w:p w:rsidR="005D48AE" w:rsidRPr="006A58BA" w:rsidRDefault="005D48AE" w:rsidP="00D55839">
      <w:pPr>
        <w:pStyle w:val="ECHRPara"/>
        <w:rPr>
          <w:lang w:val="fr-FR"/>
        </w:rPr>
      </w:pPr>
      <w:r>
        <w:rPr>
          <w:lang w:val="fr-FR"/>
        </w:rPr>
        <w:t>Selon les informations fournies par le Gouvernement le 21 janvier 2015 et confirmées par Maître Paoletti, le 12 mars 2015, le requérant a obtenu un « permis de séjour électronique pour apatrides délivré le 24 octobre 2014 ».</w:t>
      </w:r>
    </w:p>
    <w:p w:rsidR="005D48AE" w:rsidRPr="00307ADE" w:rsidRDefault="005D48AE" w:rsidP="00D55839">
      <w:pPr>
        <w:pStyle w:val="ECHRTitle1"/>
        <w:rPr>
          <w:lang w:val="fr-FR"/>
        </w:rPr>
      </w:pPr>
      <w:r w:rsidRPr="00307ADE">
        <w:rPr>
          <w:lang w:val="fr-FR"/>
        </w:rPr>
        <w:t>GRIEFS</w:t>
      </w:r>
    </w:p>
    <w:p w:rsidR="005D48AE" w:rsidRPr="000F59B0" w:rsidRDefault="005D48AE" w:rsidP="00D55839">
      <w:pPr>
        <w:pStyle w:val="ECHRPara"/>
        <w:rPr>
          <w:lang w:val="fr-FR"/>
        </w:rPr>
      </w:pPr>
      <w:r w:rsidRPr="000F59B0">
        <w:rPr>
          <w:lang w:val="fr-FR"/>
        </w:rPr>
        <w:t>Invoquant les articles 3 et 8 de la Convention, le requérant se plai</w:t>
      </w:r>
      <w:r>
        <w:rPr>
          <w:lang w:val="fr-FR"/>
        </w:rPr>
        <w:t>g</w:t>
      </w:r>
      <w:r w:rsidRPr="000F59B0">
        <w:rPr>
          <w:lang w:val="fr-FR"/>
        </w:rPr>
        <w:t>n</w:t>
      </w:r>
      <w:r>
        <w:rPr>
          <w:lang w:val="fr-FR"/>
        </w:rPr>
        <w:t>ai</w:t>
      </w:r>
      <w:r w:rsidRPr="000F59B0">
        <w:rPr>
          <w:lang w:val="fr-FR"/>
        </w:rPr>
        <w:t>t que, compte tenu de son statut d</w:t>
      </w:r>
      <w:r w:rsidR="004068B3">
        <w:rPr>
          <w:lang w:val="fr-FR"/>
        </w:rPr>
        <w:t>’</w:t>
      </w:r>
      <w:r w:rsidRPr="000F59B0">
        <w:rPr>
          <w:lang w:val="fr-FR"/>
        </w:rPr>
        <w:t>apatride et de sa situation familiale, l</w:t>
      </w:r>
      <w:r w:rsidR="004068B3">
        <w:rPr>
          <w:lang w:val="fr-FR"/>
        </w:rPr>
        <w:t>’</w:t>
      </w:r>
      <w:r w:rsidRPr="000F59B0">
        <w:rPr>
          <w:lang w:val="fr-FR"/>
        </w:rPr>
        <w:t>éloignement du territoire italien le soumettrait à un traitement inhumain et briserait ses liens familiaux.</w:t>
      </w:r>
    </w:p>
    <w:p w:rsidR="005D48AE" w:rsidRPr="009408FB" w:rsidRDefault="005D48AE" w:rsidP="00D55839">
      <w:pPr>
        <w:pStyle w:val="ECHRTitle1"/>
        <w:rPr>
          <w:lang w:val="fr-FR"/>
        </w:rPr>
      </w:pPr>
      <w:r w:rsidRPr="00021CA1">
        <w:rPr>
          <w:lang w:val="fr-FR"/>
        </w:rPr>
        <w:t>EN DROIT</w:t>
      </w:r>
    </w:p>
    <w:p w:rsidR="005D48AE" w:rsidRPr="00583899" w:rsidRDefault="005D48AE" w:rsidP="00321457">
      <w:pPr>
        <w:pStyle w:val="JuParaSub"/>
        <w:ind w:left="0"/>
        <w:rPr>
          <w:lang w:val="fr-FR"/>
        </w:rPr>
      </w:pPr>
      <w:r w:rsidRPr="00583899">
        <w:rPr>
          <w:rStyle w:val="sb8d990e2"/>
          <w:lang w:val="fr-FR"/>
        </w:rPr>
        <w:t>Le 21 janvier 2015, le Gouvernement a informé le greffe que, le 24 octobre 2014, le requérant avait obtenu un permis de séjour pour apatrides. Ce qui faisait suite à la révocat</w:t>
      </w:r>
      <w:r>
        <w:rPr>
          <w:rStyle w:val="sb8d990e2"/>
          <w:lang w:val="fr-FR"/>
        </w:rPr>
        <w:t>ion de son expulsion, le 4 </w:t>
      </w:r>
      <w:r w:rsidRPr="00583899">
        <w:rPr>
          <w:rStyle w:val="sb8d990e2"/>
          <w:lang w:val="fr-FR"/>
        </w:rPr>
        <w:t>août 2014, par le ministère de l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>Intérieur.</w:t>
      </w:r>
    </w:p>
    <w:p w:rsidR="005D48AE" w:rsidRPr="00583899" w:rsidRDefault="005D48AE" w:rsidP="00321457">
      <w:pPr>
        <w:pStyle w:val="JuParaSub"/>
        <w:ind w:left="0"/>
        <w:rPr>
          <w:lang w:val="fr-FR"/>
        </w:rPr>
      </w:pPr>
      <w:r w:rsidRPr="00583899">
        <w:rPr>
          <w:rStyle w:val="sb8d990e2"/>
          <w:lang w:val="fr-FR"/>
        </w:rPr>
        <w:t>Le 12 mars 2015, le représentant du requérant a confirmé que son client n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 xml:space="preserve">entendait plus </w:t>
      </w:r>
      <w:r w:rsidRPr="00583899">
        <w:rPr>
          <w:rStyle w:val="wordhighlighted"/>
          <w:lang w:val="fr-FR"/>
        </w:rPr>
        <w:t>maintenir la requête</w:t>
      </w:r>
      <w:r w:rsidRPr="00583899">
        <w:rPr>
          <w:rStyle w:val="sb8d990e2"/>
          <w:lang w:val="fr-FR"/>
        </w:rPr>
        <w:t>.</w:t>
      </w:r>
    </w:p>
    <w:p w:rsidR="005D48AE" w:rsidRPr="00583899" w:rsidRDefault="005D48AE" w:rsidP="00321457">
      <w:pPr>
        <w:pStyle w:val="JuParaSub"/>
        <w:ind w:left="0"/>
        <w:rPr>
          <w:lang w:val="fr-FR"/>
        </w:rPr>
      </w:pPr>
      <w:r w:rsidRPr="00583899">
        <w:rPr>
          <w:rStyle w:val="sb8d990e2"/>
          <w:lang w:val="fr-FR"/>
        </w:rPr>
        <w:t>À la lumière de ce qui précède et en l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>absence de circonstances particulières touchant au respect des droits garantis par la Convention ou ses Protocoles, la Cour, conformément à l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>article 37 § 1 a) de la Convention, considère qu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>il ne se justifie plus de poursuivre l</w:t>
      </w:r>
      <w:r w:rsidR="004068B3">
        <w:rPr>
          <w:rStyle w:val="sb8d990e2"/>
          <w:lang w:val="fr-FR"/>
        </w:rPr>
        <w:t>’</w:t>
      </w:r>
      <w:r w:rsidRPr="00583899">
        <w:rPr>
          <w:rStyle w:val="sb8d990e2"/>
          <w:lang w:val="fr-FR"/>
        </w:rPr>
        <w:t>examen de la requête</w:t>
      </w:r>
      <w:r w:rsidRPr="00583899">
        <w:rPr>
          <w:lang w:val="fr-FR"/>
        </w:rPr>
        <w:t xml:space="preserve"> (</w:t>
      </w:r>
      <w:r w:rsidRPr="00583899">
        <w:rPr>
          <w:rStyle w:val="sb8d990e2"/>
          <w:i/>
          <w:iCs/>
          <w:lang w:val="fr-FR"/>
        </w:rPr>
        <w:t xml:space="preserve">Abo </w:t>
      </w:r>
      <w:proofErr w:type="spellStart"/>
      <w:r w:rsidRPr="00583899">
        <w:rPr>
          <w:rStyle w:val="sb8d990e2"/>
          <w:i/>
          <w:iCs/>
          <w:lang w:val="fr-FR"/>
        </w:rPr>
        <w:t>Kafshaa</w:t>
      </w:r>
      <w:proofErr w:type="spellEnd"/>
      <w:r w:rsidRPr="00583899">
        <w:rPr>
          <w:rStyle w:val="sb8d990e2"/>
          <w:i/>
          <w:iCs/>
          <w:lang w:val="fr-FR"/>
        </w:rPr>
        <w:t xml:space="preserve"> et Al-</w:t>
      </w:r>
      <w:proofErr w:type="spellStart"/>
      <w:r w:rsidRPr="00583899">
        <w:rPr>
          <w:rStyle w:val="sb8d990e2"/>
          <w:i/>
          <w:iCs/>
          <w:lang w:val="fr-FR"/>
        </w:rPr>
        <w:t>Habeeb</w:t>
      </w:r>
      <w:proofErr w:type="spellEnd"/>
      <w:r w:rsidRPr="00583899">
        <w:rPr>
          <w:rStyle w:val="sb8d990e2"/>
          <w:i/>
          <w:iCs/>
          <w:lang w:val="fr-FR"/>
        </w:rPr>
        <w:t xml:space="preserve"> c. Belgique</w:t>
      </w:r>
      <w:r w:rsidRPr="00583899">
        <w:rPr>
          <w:rStyle w:val="sb8d990e2"/>
          <w:lang w:val="fr-FR"/>
        </w:rPr>
        <w:t xml:space="preserve"> (</w:t>
      </w:r>
      <w:proofErr w:type="spellStart"/>
      <w:r w:rsidRPr="00583899">
        <w:rPr>
          <w:rStyle w:val="sb8d990e2"/>
          <w:lang w:val="fr-FR"/>
        </w:rPr>
        <w:t>déc</w:t>
      </w:r>
      <w:proofErr w:type="spellEnd"/>
      <w:r w:rsidRPr="00583899">
        <w:rPr>
          <w:rStyle w:val="sb8d990e2"/>
          <w:lang w:val="fr-FR"/>
        </w:rPr>
        <w:t xml:space="preserve">), </w:t>
      </w:r>
      <w:r w:rsidRPr="002869D8">
        <w:rPr>
          <w:rStyle w:val="sb8d990e2"/>
          <w:lang w:val="fr-FR"/>
        </w:rPr>
        <w:t>n</w:t>
      </w:r>
      <w:r w:rsidRPr="002869D8">
        <w:rPr>
          <w:rStyle w:val="sb8d990e2"/>
          <w:vertAlign w:val="superscript"/>
          <w:lang w:val="fr-FR"/>
        </w:rPr>
        <w:t>o</w:t>
      </w:r>
      <w:r w:rsidRPr="002869D8">
        <w:rPr>
          <w:rStyle w:val="sb8d990e2"/>
          <w:lang w:val="fr-FR"/>
        </w:rPr>
        <w:t> </w:t>
      </w:r>
      <w:r w:rsidR="002869D8" w:rsidRPr="002869D8">
        <w:rPr>
          <w:lang w:val="fr-FR"/>
        </w:rPr>
        <w:t>7</w:t>
      </w:r>
      <w:r w:rsidR="002869D8">
        <w:rPr>
          <w:lang w:val="fr-FR"/>
        </w:rPr>
        <w:t xml:space="preserve">0929/14, </w:t>
      </w:r>
      <w:r w:rsidRPr="002869D8">
        <w:rPr>
          <w:rStyle w:val="sb8d990e2"/>
          <w:lang w:val="fr-FR"/>
        </w:rPr>
        <w:t>20 </w:t>
      </w:r>
      <w:r w:rsidRPr="00583899">
        <w:rPr>
          <w:rStyle w:val="sb8d990e2"/>
          <w:lang w:val="fr-FR"/>
        </w:rPr>
        <w:t>octobre 2015).</w:t>
      </w:r>
    </w:p>
    <w:p w:rsidR="005D48AE" w:rsidRPr="009408FB" w:rsidRDefault="005D48AE" w:rsidP="0069631E">
      <w:pPr>
        <w:pStyle w:val="JuParaLast"/>
        <w:rPr>
          <w:lang w:val="fr-FR"/>
        </w:rPr>
      </w:pPr>
      <w:r>
        <w:rPr>
          <w:lang w:val="fr-FR"/>
        </w:rPr>
        <w:lastRenderedPageBreak/>
        <w:t xml:space="preserve">Par ces motifs, la Cour, </w:t>
      </w:r>
      <w:r w:rsidRPr="009408FB">
        <w:rPr>
          <w:lang w:val="fr-FR"/>
        </w:rPr>
        <w:t>à l</w:t>
      </w:r>
      <w:r w:rsidR="004068B3">
        <w:rPr>
          <w:lang w:val="fr-FR"/>
        </w:rPr>
        <w:t>’</w:t>
      </w:r>
      <w:r w:rsidRPr="009408FB">
        <w:rPr>
          <w:lang w:val="fr-FR"/>
        </w:rPr>
        <w:t>unanimité</w:t>
      </w:r>
      <w:r>
        <w:rPr>
          <w:lang w:val="fr-FR"/>
        </w:rPr>
        <w:t>,</w:t>
      </w:r>
    </w:p>
    <w:p w:rsidR="005D48AE" w:rsidRPr="009408FB" w:rsidRDefault="005D48AE" w:rsidP="0069631E">
      <w:pPr>
        <w:pStyle w:val="DecList"/>
        <w:keepNext/>
        <w:keepLines/>
        <w:rPr>
          <w:lang w:val="fr-FR"/>
        </w:rPr>
      </w:pPr>
      <w:r w:rsidRPr="009408FB">
        <w:rPr>
          <w:i/>
          <w:lang w:val="fr-FR"/>
        </w:rPr>
        <w:t>Décide</w:t>
      </w:r>
      <w:r w:rsidRPr="009408FB">
        <w:rPr>
          <w:lang w:val="fr-FR"/>
        </w:rPr>
        <w:t xml:space="preserve"> de rayer la requête du rôle.</w:t>
      </w:r>
    </w:p>
    <w:p w:rsidR="006544C4" w:rsidRPr="00AD4F05" w:rsidRDefault="006544C4" w:rsidP="0069631E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AD4F05" w:rsidRDefault="00F40988" w:rsidP="0069631E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5D48AE">
        <w:rPr>
          <w:szCs w:val="24"/>
          <w:lang w:val="fr-FR"/>
        </w:rPr>
        <w:t>4 février 2016</w:t>
      </w:r>
      <w:r w:rsidRPr="00AD4F05">
        <w:rPr>
          <w:lang w:val="fr-FR"/>
        </w:rPr>
        <w:t>.</w:t>
      </w:r>
    </w:p>
    <w:p w:rsidR="005D48AE" w:rsidRPr="005D48AE" w:rsidRDefault="005D48AE" w:rsidP="0069631E">
      <w:pPr>
        <w:pStyle w:val="JuSigned"/>
        <w:keepNext/>
        <w:keepLines/>
        <w:tabs>
          <w:tab w:val="clear" w:pos="6407"/>
          <w:tab w:val="center" w:pos="6096"/>
        </w:tabs>
        <w:rPr>
          <w:lang w:val="fr-FR"/>
        </w:rPr>
      </w:pPr>
      <w:r w:rsidRPr="002869D8">
        <w:rPr>
          <w:lang w:val="fr-FR"/>
        </w:rPr>
        <w:tab/>
      </w:r>
      <w:r w:rsidRPr="005D48AE">
        <w:rPr>
          <w:lang w:val="fr-FR"/>
        </w:rPr>
        <w:t xml:space="preserve">André </w:t>
      </w:r>
      <w:proofErr w:type="spellStart"/>
      <w:r w:rsidRPr="005D48AE">
        <w:rPr>
          <w:lang w:val="fr-FR"/>
        </w:rPr>
        <w:t>Wampach</w:t>
      </w:r>
      <w:proofErr w:type="spellEnd"/>
      <w:r w:rsidRPr="005D48AE">
        <w:rPr>
          <w:lang w:val="fr-FR"/>
        </w:rPr>
        <w:tab/>
      </w:r>
      <w:proofErr w:type="spellStart"/>
      <w:r w:rsidRPr="005D48AE">
        <w:rPr>
          <w:lang w:val="fr-FR"/>
        </w:rPr>
        <w:t>Mirjana</w:t>
      </w:r>
      <w:proofErr w:type="spellEnd"/>
      <w:r w:rsidRPr="005D48AE">
        <w:rPr>
          <w:lang w:val="fr-FR"/>
        </w:rPr>
        <w:t xml:space="preserve"> </w:t>
      </w:r>
      <w:proofErr w:type="spellStart"/>
      <w:r w:rsidRPr="005D48AE">
        <w:rPr>
          <w:lang w:val="fr-FR"/>
        </w:rPr>
        <w:t>Lazarova</w:t>
      </w:r>
      <w:proofErr w:type="spellEnd"/>
      <w:r w:rsidRPr="005D48AE">
        <w:rPr>
          <w:lang w:val="fr-FR"/>
        </w:rPr>
        <w:t xml:space="preserve"> </w:t>
      </w:r>
      <w:proofErr w:type="spellStart"/>
      <w:r w:rsidRPr="005D48AE">
        <w:rPr>
          <w:lang w:val="fr-FR"/>
        </w:rPr>
        <w:t>Trajkovska</w:t>
      </w:r>
      <w:proofErr w:type="spellEnd"/>
      <w:r w:rsidRPr="005D48AE">
        <w:rPr>
          <w:lang w:val="fr-FR"/>
        </w:rPr>
        <w:br/>
      </w:r>
      <w:r w:rsidRPr="005D48AE">
        <w:rPr>
          <w:lang w:val="fr-FR"/>
        </w:rPr>
        <w:tab/>
        <w:t>Greffier adjoint</w:t>
      </w:r>
      <w:r w:rsidRPr="005D48AE">
        <w:rPr>
          <w:lang w:val="fr-FR"/>
        </w:rPr>
        <w:tab/>
        <w:t>Présidente</w:t>
      </w: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89" w:rsidRDefault="00E62589" w:rsidP="006544C4">
      <w:r>
        <w:separator/>
      </w:r>
    </w:p>
  </w:endnote>
  <w:endnote w:type="continuationSeparator" w:id="0">
    <w:p w:rsidR="00E62589" w:rsidRDefault="00E62589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AE" w:rsidRPr="00150BFA" w:rsidRDefault="005D48AE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0AB8D84" wp14:editId="5060B84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E62589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89" w:rsidRDefault="00E62589" w:rsidP="006544C4">
      <w:r>
        <w:separator/>
      </w:r>
    </w:p>
  </w:footnote>
  <w:footnote w:type="continuationSeparator" w:id="0">
    <w:p w:rsidR="00E62589" w:rsidRDefault="00E62589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5D48AE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B30221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0D527F">
      <w:rPr>
        <w:lang w:val="en-GB"/>
      </w:rPr>
      <w:tab/>
      <w:t xml:space="preserve">DÉCISION </w:t>
    </w:r>
    <w:r>
      <w:rPr>
        <w:lang w:val="en-GB"/>
      </w:rPr>
      <w:t>HALILOVIC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0D527F" w:rsidRDefault="00334EC5" w:rsidP="006544C4">
    <w:pPr>
      <w:pStyle w:val="ECHRHeader"/>
      <w:rPr>
        <w:lang w:val="en-GB"/>
      </w:rPr>
    </w:pPr>
    <w:r>
      <w:tab/>
    </w:r>
    <w:r w:rsidRPr="000D527F">
      <w:rPr>
        <w:lang w:val="en-GB"/>
      </w:rPr>
      <w:t xml:space="preserve">DÉCISION </w:t>
    </w:r>
    <w:r w:rsidR="005D48AE">
      <w:rPr>
        <w:lang w:val="en-GB"/>
      </w:rPr>
      <w:t>HALILOVIC c. ITALIE</w:t>
    </w:r>
    <w:r w:rsidRPr="000D527F">
      <w:rPr>
        <w:lang w:val="en-GB"/>
      </w:rPr>
      <w:tab/>
    </w:r>
    <w:r w:rsidR="005D48AE">
      <w:rPr>
        <w:rStyle w:val="Numeropagina"/>
        <w:lang w:val="en-GB"/>
      </w:rPr>
      <w:fldChar w:fldCharType="begin"/>
    </w:r>
    <w:r w:rsidR="005D48AE">
      <w:rPr>
        <w:rStyle w:val="Numeropagina"/>
        <w:lang w:val="en-GB"/>
      </w:rPr>
      <w:instrText xml:space="preserve"> PAGE </w:instrText>
    </w:r>
    <w:r w:rsidR="005D48AE">
      <w:rPr>
        <w:rStyle w:val="Numeropagina"/>
        <w:lang w:val="en-GB"/>
      </w:rPr>
      <w:fldChar w:fldCharType="separate"/>
    </w:r>
    <w:r w:rsidR="00B30221">
      <w:rPr>
        <w:rStyle w:val="Numeropagina"/>
        <w:noProof/>
        <w:lang w:val="en-GB"/>
      </w:rPr>
      <w:t>3</w:t>
    </w:r>
    <w:r w:rsidR="005D48AE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AE" w:rsidRPr="00A45145" w:rsidRDefault="005D48A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005825F" wp14:editId="5E67448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E62589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5D48A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BC0"/>
    <w:rsid w:val="00022C1D"/>
    <w:rsid w:val="00034987"/>
    <w:rsid w:val="000602DF"/>
    <w:rsid w:val="00061B05"/>
    <w:rsid w:val="000632D5"/>
    <w:rsid w:val="000644EE"/>
    <w:rsid w:val="000925AD"/>
    <w:rsid w:val="000A24EB"/>
    <w:rsid w:val="000A3ED5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869D8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1457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068B3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48AE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631E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221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2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841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h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har">
    <w:name w:val="Ju_Para Char"/>
    <w:basedOn w:val="Carpredefinitoparagrafo"/>
    <w:link w:val="ECHRPara"/>
    <w:rsid w:val="005D48AE"/>
    <w:rPr>
      <w:rFonts w:eastAsiaTheme="minorEastAsia"/>
      <w:sz w:val="24"/>
    </w:rPr>
  </w:style>
  <w:style w:type="character" w:customStyle="1" w:styleId="wordhighlighted">
    <w:name w:val="wordhighlighted"/>
    <w:basedOn w:val="Carpredefinitoparagrafo"/>
    <w:rsid w:val="005D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D7C6-70DE-45D6-A890-8994254D9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9F3EC-5661-42FF-AF3F-2FFC3909C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545A3-7313-43CD-B7FE-2BD3B8D13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6B10F6-EBAA-4815-A0A6-9A897B3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2016-03-09T13:42:00Z</dcterms:created>
  <dcterms:modified xsi:type="dcterms:W3CDTF">2016-03-09T13:42:00Z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7498/11</vt:lpwstr>
  </property>
  <property fmtid="{D5CDD505-2E9C-101B-9397-08002B2CF9AE}" pid="4" name="CASEID">
    <vt:lpwstr>697048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